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760" w:lineRule="exact"/>
        <w:rPr>
          <w:rFonts w:ascii="Times New Roman" w:hAnsi="Times New Roman" w:eastAsia="仿宋_GB2312"/>
          <w:sz w:val="32"/>
        </w:rPr>
      </w:pPr>
    </w:p>
    <w:p>
      <w:pPr>
        <w:overflowPunct w:val="0"/>
        <w:spacing w:line="760" w:lineRule="exact"/>
        <w:rPr>
          <w:rFonts w:ascii="Times New Roman" w:hAnsi="Times New Roman" w:eastAsia="仿宋_GB2312"/>
          <w:sz w:val="32"/>
        </w:rPr>
      </w:pPr>
    </w:p>
    <w:p>
      <w:pPr>
        <w:tabs>
          <w:tab w:val="left" w:pos="6300"/>
          <w:tab w:val="left" w:pos="6521"/>
          <w:tab w:val="left" w:pos="6804"/>
          <w:tab w:val="left" w:pos="7140"/>
          <w:tab w:val="left" w:pos="7513"/>
          <w:tab w:val="left" w:pos="7655"/>
          <w:tab w:val="left" w:pos="7938"/>
          <w:tab w:val="left" w:pos="8364"/>
          <w:tab w:val="left" w:pos="8647"/>
        </w:tabs>
        <w:overflowPunct w:val="0"/>
        <w:spacing w:line="46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方正仿宋简体"/>
          <w:spacing w:val="-40"/>
          <w:sz w:val="32"/>
          <w:szCs w:val="32"/>
        </w:rPr>
        <w:t xml:space="preserve">            </w:t>
      </w:r>
      <w:r>
        <w:rPr>
          <w:rFonts w:ascii="Times New Roman" w:hAnsi="Times New Roman" w:eastAsia="方正仿宋简体"/>
          <w:spacing w:val="-40"/>
          <w:sz w:val="32"/>
          <w:szCs w:val="32"/>
        </w:rPr>
        <w:t>各区（县</w:t>
      </w:r>
      <w:r>
        <w:rPr>
          <w:rFonts w:hint="eastAsia" w:ascii="Times New Roman" w:hAnsi="Times New Roman" w:eastAsia="方正仿宋简体"/>
          <w:spacing w:val="-40"/>
          <w:sz w:val="32"/>
          <w:szCs w:val="32"/>
        </w:rPr>
        <w:t>、</w:t>
      </w:r>
      <w:r>
        <w:rPr>
          <w:rFonts w:ascii="Times New Roman" w:hAnsi="Times New Roman" w:eastAsia="方正仿宋简体"/>
          <w:spacing w:val="-40"/>
          <w:sz w:val="32"/>
          <w:szCs w:val="32"/>
        </w:rPr>
        <w:t>市）农业农村</w:t>
      </w:r>
      <w:r>
        <w:rPr>
          <w:rFonts w:hint="eastAsia" w:ascii="Times New Roman" w:hAnsi="Times New Roman" w:eastAsia="方正仿宋简体"/>
          <w:spacing w:val="-40"/>
          <w:sz w:val="32"/>
          <w:szCs w:val="32"/>
        </w:rPr>
        <w:t>（渔业）</w:t>
      </w:r>
      <w:r>
        <w:rPr>
          <w:rFonts w:ascii="Times New Roman" w:hAnsi="Times New Roman" w:eastAsia="方正仿宋简体"/>
          <w:spacing w:val="-40"/>
          <w:sz w:val="32"/>
          <w:szCs w:val="32"/>
        </w:rPr>
        <w:t>局</w:t>
      </w:r>
      <w:r>
        <w:rPr>
          <w:rFonts w:hint="eastAsia" w:ascii="Times New Roman" w:hAnsi="Times New Roman" w:eastAsia="方正仿宋简体"/>
          <w:spacing w:val="-40"/>
          <w:sz w:val="32"/>
          <w:szCs w:val="32"/>
        </w:rPr>
        <w:t xml:space="preserve">、相关功能区  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楷体简体"/>
          <w:sz w:val="32"/>
          <w:szCs w:val="32"/>
        </w:rPr>
        <w:t>陆勇军</w:t>
      </w:r>
      <w:r>
        <w:rPr>
          <w:rFonts w:hint="eastAsia" w:ascii="Times New Roman" w:hAnsi="Times New Roman" w:eastAsia="方正仿宋简体"/>
          <w:sz w:val="32"/>
          <w:szCs w:val="32"/>
        </w:rPr>
        <w:t xml:space="preserve">            </w:t>
      </w:r>
    </w:p>
    <w:p>
      <w:pPr>
        <w:tabs>
          <w:tab w:val="left" w:pos="6300"/>
          <w:tab w:val="left" w:pos="6521"/>
          <w:tab w:val="left" w:pos="6663"/>
          <w:tab w:val="left" w:pos="6825"/>
          <w:tab w:val="left" w:pos="7140"/>
          <w:tab w:val="left" w:pos="7513"/>
        </w:tabs>
        <w:overflowPunct w:val="0"/>
        <w:spacing w:line="460" w:lineRule="exact"/>
        <w:ind w:firstLine="1350" w:firstLineChars="450"/>
        <w:rPr>
          <w:rFonts w:ascii="Times New Roman" w:hAnsi="Times New Roman" w:eastAsia="仿宋_GB2312"/>
          <w:sz w:val="30"/>
        </w:rPr>
      </w:pPr>
    </w:p>
    <w:p>
      <w:pPr>
        <w:tabs>
          <w:tab w:val="left" w:pos="3045"/>
          <w:tab w:val="left" w:pos="3360"/>
          <w:tab w:val="left" w:pos="3780"/>
          <w:tab w:val="left" w:pos="7513"/>
        </w:tabs>
        <w:overflowPunct w:val="0"/>
        <w:spacing w:line="560" w:lineRule="exact"/>
        <w:ind w:firstLine="960" w:firstLineChars="300"/>
        <w:rPr>
          <w:rFonts w:ascii="Times New Roman" w:hAnsi="Times New Roman" w:eastAsia="方正仿宋简体"/>
          <w:sz w:val="30"/>
        </w:rPr>
      </w:pPr>
      <w:r>
        <w:rPr>
          <w:rFonts w:ascii="Times New Roman" w:hAnsi="Times New Roman" w:eastAsia="方正仿宋简体"/>
          <w:sz w:val="32"/>
        </w:rPr>
        <w:t>急               甬农电〔202</w:t>
      </w:r>
      <w:r>
        <w:rPr>
          <w:rFonts w:hint="eastAsia" w:ascii="Times New Roman" w:hAnsi="Times New Roman" w:eastAsia="方正仿宋简体"/>
          <w:sz w:val="32"/>
        </w:rPr>
        <w:t>2</w:t>
      </w:r>
      <w:r>
        <w:rPr>
          <w:rFonts w:ascii="Times New Roman" w:hAnsi="Times New Roman" w:eastAsia="方正仿宋简体"/>
          <w:sz w:val="32"/>
        </w:rPr>
        <w:t>〕</w:t>
      </w:r>
      <w:r>
        <w:rPr>
          <w:rFonts w:hint="eastAsia" w:ascii="Times New Roman" w:hAnsi="Times New Roman" w:eastAsia="方正仿宋简体"/>
          <w:sz w:val="32"/>
        </w:rPr>
        <w:t>21</w:t>
      </w:r>
      <w:r>
        <w:rPr>
          <w:rFonts w:ascii="Times New Roman" w:hAnsi="Times New Roman" w:eastAsia="方正仿宋简体"/>
          <w:sz w:val="32"/>
        </w:rPr>
        <w:t>号</w:t>
      </w:r>
    </w:p>
    <w:p>
      <w:pPr>
        <w:pStyle w:val="4"/>
        <w:overflowPunct w:val="0"/>
        <w:spacing w:line="560" w:lineRule="exact"/>
        <w:rPr>
          <w:rFonts w:eastAsia="华文中宋"/>
          <w:b/>
          <w:bCs/>
          <w:sz w:val="32"/>
        </w:rPr>
      </w:pPr>
    </w:p>
    <w:p>
      <w:pPr>
        <w:pStyle w:val="4"/>
        <w:overflowPunct w:val="0"/>
        <w:spacing w:line="560" w:lineRule="exact"/>
        <w:ind w:left="420"/>
        <w:rPr>
          <w:rFonts w:eastAsia="华文中宋"/>
          <w:b/>
          <w:bCs/>
          <w:sz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创艺简标宋"/>
          <w:sz w:val="44"/>
          <w:szCs w:val="44"/>
        </w:rPr>
      </w:pPr>
      <w:r>
        <w:rPr>
          <w:rFonts w:hint="eastAsia" w:ascii="方正小标宋简体" w:hAnsi="创艺简标宋" w:eastAsia="方正小标宋简体" w:cs="创艺简标宋"/>
          <w:sz w:val="44"/>
          <w:szCs w:val="44"/>
        </w:rPr>
        <w:t>宁波市农业农村局关于做好</w:t>
      </w:r>
      <w:r>
        <w:rPr>
          <w:rFonts w:hint="eastAsia" w:ascii="方正小标宋简体" w:hAnsi="Times New Roman" w:eastAsia="方正小标宋简体" w:cs="创艺简标宋"/>
          <w:sz w:val="44"/>
          <w:szCs w:val="44"/>
        </w:rPr>
        <w:t>“</w:t>
      </w:r>
      <w:r>
        <w:rPr>
          <w:rFonts w:hint="eastAsia" w:ascii="方正小标宋简体" w:hAnsi="创艺简标宋" w:eastAsia="方正小标宋简体" w:cs="创艺简标宋"/>
          <w:sz w:val="44"/>
          <w:szCs w:val="44"/>
        </w:rPr>
        <w:t>国庆</w:t>
      </w:r>
      <w:r>
        <w:rPr>
          <w:rFonts w:hint="eastAsia" w:ascii="方正小标宋简体" w:hAnsi="Times New Roman" w:eastAsia="方正小标宋简体" w:cs="创艺简标宋"/>
          <w:sz w:val="44"/>
          <w:szCs w:val="44"/>
        </w:rPr>
        <w:t>”</w:t>
      </w:r>
      <w:r>
        <w:rPr>
          <w:rFonts w:hint="eastAsia" w:ascii="方正小标宋简体" w:hAnsi="创艺简标宋" w:eastAsia="方正小标宋简体" w:cs="创艺简标宋"/>
          <w:sz w:val="44"/>
          <w:szCs w:val="44"/>
        </w:rPr>
        <w:t>期间</w:t>
      </w:r>
    </w:p>
    <w:p>
      <w:pPr>
        <w:spacing w:line="560" w:lineRule="exact"/>
        <w:jc w:val="center"/>
        <w:rPr>
          <w:rFonts w:ascii="方正小标宋简体" w:hAnsi="Times New Roman" w:eastAsia="方正小标宋简体" w:cs="创艺简标宋"/>
          <w:sz w:val="44"/>
          <w:szCs w:val="44"/>
        </w:rPr>
      </w:pPr>
      <w:r>
        <w:rPr>
          <w:rFonts w:hint="eastAsia" w:ascii="方正小标宋简体" w:hAnsi="创艺简标宋" w:eastAsia="方正小标宋简体" w:cs="创艺简标宋"/>
          <w:sz w:val="44"/>
          <w:szCs w:val="44"/>
        </w:rPr>
        <w:t>农业渔业生产领域安全工作的通知</w:t>
      </w:r>
    </w:p>
    <w:p>
      <w:pPr>
        <w:spacing w:line="560" w:lineRule="exact"/>
        <w:jc w:val="center"/>
        <w:rPr>
          <w:rFonts w:ascii="Times New Roman" w:hAnsi="Times New Roman" w:eastAsia="创艺简标宋" w:cs="创艺简标宋"/>
          <w:sz w:val="44"/>
          <w:szCs w:val="4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0" w:firstLineChars="200"/>
        <w:rPr>
          <w:rFonts w:ascii="Times New Roman" w:hAnsi="Times New Roman" w:eastAsia="方正仿宋简体"/>
          <w:color w:val="222222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2022年“国庆”将至，为认真贯彻落实习近平总书记关于安全生产重要指示批示精神，进一步推进落实国十五条、省二十五条，以及市二十九安全生产硬措施，以及省、市“国庆”节日期间农业（渔业）生产领域安全工作部署和要求，全面压实安全生产责任，防范化解重大风险，保障人民生命财产安全，现就加强“国庆”期间农业（渔业）生产领域安全工作通知如下：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要提高政治站位，严格落实安全生产责任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　　各地要高度重视“国庆”期间安全生产尤其是渔业安全生产工作，要树牢以人民为中心的</w:t>
      </w: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lang w:eastAsia="zh-CN"/>
        </w:rPr>
        <w:t>发展</w:t>
      </w:r>
      <w:bookmarkStart w:id="0" w:name="_GoBack"/>
      <w:bookmarkEnd w:id="0"/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思想，统筹发展和安全，坚持人民至上、生命至上，时刻紧绷安全这根弦，切忌因长假产生麻痹思想和松懈心态。要充分认识做好节日期间农业（渔业）生产领域安全工作的重要性，加强组织领导，提高思想认识，明确安全责任，切实抓好各项安全生产工作措施的落实，主要领导要亲自研究部署、亲自参与检查。要按照“党政同责、一岗双责、齐抓共管、失职追责”和“三个必须”的要求，层层压实责任、层层传导压力，进一步强化监管责任，压实企业、特别是船东船长主体责任，紧盯安全事故多发易发的重点领域、重点区域、重点单位，全面排查隐患，牢牢守住农业渔业生产领域的“安全底线”，确保责任链条环环相扣没有漏洞，努力践行“四个意识”，坚决做到“两个维护”。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0" w:firstLineChars="200"/>
        <w:rPr>
          <w:rFonts w:ascii="方正黑体简体" w:hAnsi="Times New Roman" w:eastAsia="方正黑体简体"/>
          <w:sz w:val="32"/>
          <w:szCs w:val="32"/>
        </w:rPr>
      </w:pPr>
      <w:r>
        <w:rPr>
          <w:rFonts w:hint="eastAsia" w:ascii="方正黑体简体" w:hAnsi="Times New Roman" w:eastAsia="方正黑体简体"/>
          <w:sz w:val="32"/>
          <w:szCs w:val="32"/>
        </w:rPr>
        <w:t>要聚焦安全重点，严格落实安全防范措施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方正仿宋简体" w:hAnsi="Times New Roman" w:eastAsia="方正仿宋简体" w:cs="仿宋_GB2312"/>
          <w:color w:val="000000" w:themeColor="text1"/>
          <w:sz w:val="32"/>
          <w:szCs w:val="32"/>
        </w:rPr>
        <w:t>各地要根据“国庆”特点，聚焦重点，抓好对节日期间安全风险的系统分析研判，除共性安全风险外，要针对区域农业（渔业）生产领域的特点研判个性化重点安全风险。要结合本部门、</w:t>
      </w: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本单位、本行业“国庆”期间安全工作特点、重点和难点，针对薄弱环节，及时研究制定检查方案，明确检查时间、检查内容、检查人员及检查方法，并认真组织实施，严格落实安全防范措施。要聚焦针对农业（渔业）安全生产薄弱环节、事故多发领域开展大排查，突出10人以上及高危渔船、变型拖拉机、农家乐、沼气工程、农药经营使用、实验室危化品、农产品质量、疫情防控等安全生产重点，要集中精力对重点地区、重点单位、重要场所进行全面排查隐患，做到安全防范措施再细化、再落实，努力确保农业（渔业）生产领域的安全。要对检查发现的安全隐患和问题，要督促相关单位和企业严格落实主体责任，确保隐患整改到位，对一时难以整改的重大隐患，要坚决落实停产停业措施，确保“国庆”期间安全生产形势稳定。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0" w:firstLineChars="20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要加强安全检查，严格落实安全隐患治理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要坚持问题导向，严控安全风险，严治事故隐患，要突出农业渔业生产领域重点部位，严格落实安全隐患治理。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一是要加强渔业安全监管。各地要充分利用渔船刚开捕不久，切实加强对船舶适航、船员适任、疫情防控等方面的监督检查，特别是督促指导隐患整改不到位，不予开捕的渔船，逐一比对隐患清单落实整改，严防渔船“带病”出港作业。要聚焦渔船防碰撞、编组作业、值班瞭望、巡舱检查、船员穿着救生衣、北斗非正常下线核查、穿越商船习惯航路的渔船提醒等安全措施落实情况进行排查，加强海上作业渔船动态管控，对排查出的问题要立查立改、边查边改，确保整改到位，有效防范商渔船碰撞、风灾、触焦、火灾等事故，确保渔民生命和财产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二是要加强农机安全监管。要结合农村公路安全专项整治和“三秋”农机安全生产联合执法行动，加强与公安交警、应急、乡镇等部门协作，严厉打击拖拉机涉假牌证、违法载人、无牌无证等严重违法行为。加强农机作业指导，组织农机监管人员深入乡村田间生产一线、农机合作社等场所开展农机安全隐患排查治理，做到重点危险机具必查、重点设施装备必查、库房安全必查，严防生产安全事故发生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三是加强农家乐安全监管。按照属地管理原则，各地要开展对休闲农家乐和设施农业安全检查，各级农家乐主管部门要指导乡镇开展安全生产全面排查工作，加强对设施大棚、农业棚舍等农业设施和休闲农业旅游观光点的安全指导，检查休闲农业和设施农业的电力、消防、危险防护等安全设施建设情况。要加强与公安应急、消防等部门的沟通联系，协同开展联合检查，发现问题督促农家乐主开展隐患整改，实施限期整改或停业整改举措，切实消除隐患风险，确保节日期间安全稳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四是加强农产品质量安全监管。各地要全面深入排查整治农产品质量安全风险隐患，结合“治违禁 控药残 促提升”三年行动和“除隐患、守底线，护航二十大”农产品质量安全专项整治行动，聚焦关键节点、重点品种和重要场所，充分发挥基层网格作用，加大监督抽查和执法检查力度，全面落实承诺达标合格证制度，确保不发生重大农产品质量安全事件，确实守护老百姓“舌尖上”的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此外，各地要加强对农村沼气工程安全的监管，全面排查沼气工程风险隐患，严格落实沼气安全管理制度和风险隐患防范措施，确保节日期间安全。同时要积极完善单位内部安全管理，抓好供电、消防、车辆、电梯等重要设施设备及实验室有毒有害物品，易燃易爆危险品、微生物菌毒种的排查整改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800" w:firstLineChars="250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市农业农村局将成立“国庆”安全生产督导检查组，由局领导带队，即日起至本月底对各地安全生产工作进行督察，具体分组见附件1，请各组联络员负责做好组织和督察工作，并于9月30日前将农业渔业领域安全检查情况表（附件2）报市局渔业渔政渔港管理处施培法，联系电话：89187073；农产品质量安全情况报局农产品质量监管处洪坤城，联系电话：89184269；防疫检查表报局疫情防控专班陈棣元，联系电话：89385497。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0" w:firstLineChars="200"/>
        <w:rPr>
          <w:rFonts w:ascii="Times New Roman" w:hAnsi="Times New Roman" w:eastAsia="方正黑体简体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 w:themeColor="text1"/>
          <w:sz w:val="32"/>
          <w:szCs w:val="32"/>
        </w:rPr>
        <w:t>要加大宣传教育，严格落实疫情安全防控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 xml:space="preserve">各地要加大安全生产宣传教育，把安全宣传发动和安全生产检查与隐患排查治理一起相结合，要充分利用各种宣传方式，进一步加强对各类农（渔）民群众的宣传教育，督促其严格遵守各种安全法律法规。充分利用现代信息手段，建立完善隐患排查治理体系，将安全生产的宣传教育，疫情防控意识，贯穿于安全生产检查和日常安全监督管理工作中，督促责任单位建立横向到边、纵向到底、细化到每个岗位的隐患排查整改制度，要把检查中发现的好经验,好的做法及时总结提炼，固化为安全生产管理的规定动作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与此同时，各地要加强农业（渔业）领域的疫情防控宣传教育提醒和防疫检查。要以辖区内的村庄、种养殖企业、农（渔）家乐、农民专业合作社、家庭农场、农资企业、畜禽屠宰企业、渔业生产等重点场所为点位，开展“守小门，管家门”等防疫措施落实情况的督促检查指导，严格落实疫情防控措施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2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海上生产作业渔船疫情防控要备足防护用品，渔业主管部门要加强从港口源头上强化疫情防控检查。远洋渔业企业要聚焦渔业生产风险和涉外安全事件情况，结合当前疫情防控要求，及时开展隐患排查，认真梳理完善管理制度、操作规程及应急急预案等方面存在的不足，要继续落实疫情防控定期报告制度，做好远洋渔船疫情防控工作，严防境外疫情输入和涉外事件的发生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0" w:firstLineChars="200"/>
        <w:rPr>
          <w:rFonts w:ascii="Times New Roman" w:hAnsi="Times New Roman" w:eastAsia="方正黑体简体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 w:themeColor="text1"/>
          <w:sz w:val="32"/>
          <w:szCs w:val="32"/>
        </w:rPr>
        <w:t>五、要加强监测预警，严格落实安全应急值守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rPr>
          <w:rFonts w:ascii="Times New Roman" w:hAnsi="Times New Roman" w:eastAsia="方正仿宋简体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　　各地要严格执行节日期间值班制度和领导带班制度，落实岗位责任，做好突发事件应对防范和应急准备。加强对各类舆情信息动态监测预警，确保早发现、早报告、早处置。保持高度敏感性，及时发现可能引发炒作的倾向性、苗头性信息，第一时间发布权威信息，回应社会关注，消除公众疑惑。一旦发生农业（渔业）安全生产上报事故，要按照规定快速反应，果断有效处置，最大限度地将各种负面影响降到最低程度，坚决防止事态的扩大和蔓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各地农业农村局、渔业主管部门和局属单独办公的单位，请于9月30日前将“国庆”期间值班表报送市局办公室。</w:t>
      </w:r>
    </w:p>
    <w:p>
      <w:pPr>
        <w:pStyle w:val="2"/>
        <w:spacing w:before="0" w:beforeAutospacing="0" w:after="0" w:afterAutospacing="0" w:line="560" w:lineRule="exact"/>
        <w:rPr>
          <w:rFonts w:ascii="Times New Roman" w:hAnsi="Times New Roman" w:eastAsia="方正仿宋简体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 xml:space="preserve">附件：1.“国庆”农业渔业生产领域安全督导检查组安排表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1600" w:firstLineChars="500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2.宁波市农业渔业生产领域安全督导检查汇总表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>　　　　  3.部门“守小门”督促指导清单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firstLine="960" w:firstLineChars="300"/>
        <w:jc w:val="right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right="640" w:firstLine="960" w:firstLineChars="300"/>
        <w:jc w:val="center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</w:rPr>
        <w:t xml:space="preserve">                       宁波市农业农村局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60" w:lineRule="exact"/>
        <w:ind w:right="640" w:firstLine="960" w:firstLineChars="300"/>
        <w:jc w:val="center"/>
        <w:rPr>
          <w:rFonts w:ascii="Times New Roman" w:hAnsi="Times New Roman" w:eastAsia="方正仿宋简体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 w:themeColor="text1"/>
          <w:sz w:val="32"/>
          <w:szCs w:val="32"/>
        </w:rPr>
        <w:t xml:space="preserve">                        2022年9月22日</w:t>
      </w:r>
    </w:p>
    <w:p>
      <w:pPr>
        <w:spacing w:line="500" w:lineRule="exact"/>
        <w:rPr>
          <w:rFonts w:ascii="Times New Roman" w:hAnsi="Times New Roman" w:eastAsia="方正黑体简体" w:cs="方正小标宋简体"/>
          <w:spacing w:val="-8"/>
          <w:sz w:val="36"/>
          <w:szCs w:val="36"/>
        </w:rPr>
      </w:pPr>
      <w:r>
        <w:rPr>
          <w:rFonts w:hint="eastAsia" w:ascii="Times New Roman" w:hAnsi="Times New Roman" w:eastAsia="方正黑体简体" w:cs="仿宋_GB2312"/>
          <w:spacing w:val="-8"/>
          <w:sz w:val="32"/>
          <w:szCs w:val="32"/>
        </w:rPr>
        <w:t>附件1</w:t>
      </w:r>
    </w:p>
    <w:p>
      <w:pPr>
        <w:spacing w:beforeLines="50" w:afterLines="50" w:line="5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“国庆”农业渔业生产领域安全督导检查组</w:t>
      </w:r>
    </w:p>
    <w:p>
      <w:pPr>
        <w:spacing w:beforeLines="50" w:afterLines="50"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安排表</w:t>
      </w:r>
    </w:p>
    <w:tbl>
      <w:tblPr>
        <w:tblStyle w:val="9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842"/>
        <w:gridCol w:w="354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方正仿宋_GBK" w:eastAsiaTheme="majorEastAsia"/>
                <w:b/>
                <w:sz w:val="28"/>
                <w:szCs w:val="28"/>
              </w:rPr>
            </w:pPr>
            <w:r>
              <w:rPr>
                <w:rFonts w:hint="eastAsia" w:ascii="Times New Roman" w:cs="方正仿宋_GBK" w:hAnsiTheme="majorEastAsia" w:eastAsiaTheme="majorEastAsia"/>
                <w:b/>
                <w:sz w:val="28"/>
                <w:szCs w:val="28"/>
              </w:rPr>
              <w:t>分组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方正仿宋_GBK" w:eastAsiaTheme="majorEastAsia"/>
                <w:b/>
                <w:sz w:val="28"/>
                <w:szCs w:val="28"/>
              </w:rPr>
            </w:pPr>
            <w:r>
              <w:rPr>
                <w:rFonts w:hint="eastAsia" w:ascii="Times New Roman" w:cs="方正仿宋_GBK" w:hAnsiTheme="majorEastAsia" w:eastAsiaTheme="majorEastAsia"/>
                <w:b/>
                <w:sz w:val="28"/>
                <w:szCs w:val="28"/>
              </w:rPr>
              <w:t>带队领导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方正仿宋_GBK" w:eastAsiaTheme="majorEastAsia"/>
                <w:b/>
                <w:sz w:val="28"/>
                <w:szCs w:val="28"/>
              </w:rPr>
            </w:pPr>
            <w:r>
              <w:rPr>
                <w:rFonts w:hint="eastAsia" w:ascii="Times New Roman" w:cs="方正仿宋_GBK" w:hAnsiTheme="majorEastAsia" w:eastAsiaTheme="majorEastAsia"/>
                <w:b/>
                <w:sz w:val="28"/>
                <w:szCs w:val="28"/>
              </w:rPr>
              <w:t>督查地点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方正仿宋_GBK" w:eastAsiaTheme="majorEastAsia"/>
                <w:b/>
                <w:sz w:val="28"/>
                <w:szCs w:val="28"/>
              </w:rPr>
            </w:pPr>
            <w:r>
              <w:rPr>
                <w:rFonts w:hint="eastAsia" w:ascii="Times New Roman" w:cs="方正仿宋_GBK" w:hAnsiTheme="majorEastAsia" w:eastAsiaTheme="majorEastAsia"/>
                <w:b/>
                <w:sz w:val="28"/>
                <w:szCs w:val="28"/>
              </w:rPr>
              <w:t>参加单位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方正仿宋_GBK" w:eastAsiaTheme="majorEastAsia"/>
                <w:b/>
                <w:sz w:val="28"/>
                <w:szCs w:val="28"/>
              </w:rPr>
            </w:pPr>
            <w:r>
              <w:rPr>
                <w:rFonts w:hint="eastAsia" w:ascii="Times New Roman" w:cs="方正仿宋_GBK" w:hAnsiTheme="majorEastAsia" w:eastAsiaTheme="majorEastAsia"/>
                <w:b/>
                <w:sz w:val="28"/>
                <w:szCs w:val="28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ascii="Times New Roman" w:hAnsi="Times New Roman" w:cs="仿宋_GB2312" w:eastAsiaTheme="major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李　斌</w:t>
            </w:r>
          </w:p>
        </w:tc>
        <w:tc>
          <w:tcPr>
            <w:tcW w:w="5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总牵头，随机开展督导检查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卞银江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慈溪、前湾新区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秘书处、农村社会事业促进处</w:t>
            </w:r>
          </w:p>
        </w:tc>
        <w:tc>
          <w:tcPr>
            <w:tcW w:w="126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王方盛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陈世本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海曙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农机处、农机畜牧中心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胡然挺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茅黎泓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奉化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乡村产业与市场信息处、市农业农村大数据发展中心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卢修龙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蒋大忠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江北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畜牧兽医处、农业执法队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苑志朋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陆勇军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象山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渔业处、渔业执法队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石志猛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卓恺浩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宁海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农村合作经济指导处、市乡村振兴促进中心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丁世恩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赵新立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余姚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种植业和种业管理处、市种子管理站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贾红军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徐　娜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鄞州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科技教育处、农技推广总站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岑丞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吴英军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北仑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农产品质量安全监管处、宁波市海洋与渔业研究院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蒋蓉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hAnsi="Times New Roman" w:cs="仿宋_GB2312" w:eastAsiaTheme="major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么立坤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镇海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乡村振兴协调处、绿色发展中心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仿宋_GB2312" w:eastAsiaTheme="majorEastAsia"/>
                <w:sz w:val="24"/>
                <w:szCs w:val="24"/>
              </w:rPr>
            </w:pPr>
            <w:r>
              <w:rPr>
                <w:rFonts w:hint="eastAsia" w:ascii="Times New Roman" w:cs="仿宋_GB2312" w:hAnsiTheme="majorEastAsia" w:eastAsiaTheme="majorEastAsia"/>
                <w:sz w:val="24"/>
                <w:szCs w:val="24"/>
              </w:rPr>
              <w:t>周立峰</w:t>
            </w:r>
          </w:p>
        </w:tc>
      </w:tr>
    </w:tbl>
    <w:p>
      <w:pPr>
        <w:spacing w:line="500" w:lineRule="exact"/>
        <w:rPr>
          <w:rFonts w:ascii="Times New Roman" w:hAnsi="Times New Roman" w:eastAsia="方正楷体简体" w:cs="仿宋_GB2312"/>
          <w:sz w:val="28"/>
          <w:szCs w:val="28"/>
        </w:rPr>
      </w:pPr>
      <w:r>
        <w:rPr>
          <w:rFonts w:hint="eastAsia" w:ascii="Times New Roman" w:hAnsi="Times New Roman" w:eastAsia="方正楷体简体" w:cs="仿宋_GB2312"/>
          <w:sz w:val="28"/>
          <w:szCs w:val="28"/>
        </w:rPr>
        <w:t>备注：请各组联络员负责做好相关检查联络工作。每组根据当地实际重点</w:t>
      </w:r>
    </w:p>
    <w:p>
      <w:pPr>
        <w:spacing w:line="500" w:lineRule="exact"/>
        <w:ind w:firstLine="840" w:firstLineChars="300"/>
        <w:rPr>
          <w:rFonts w:ascii="Times New Roman" w:hAnsi="Times New Roman" w:eastAsia="方正楷体简体" w:cs="仿宋_GB2312"/>
          <w:sz w:val="28"/>
          <w:szCs w:val="28"/>
        </w:rPr>
      </w:pPr>
      <w:r>
        <w:rPr>
          <w:rFonts w:hint="eastAsia" w:ascii="Times New Roman" w:hAnsi="Times New Roman" w:eastAsia="方正楷体简体" w:cs="仿宋_GB2312"/>
          <w:sz w:val="28"/>
          <w:szCs w:val="28"/>
        </w:rPr>
        <w:t>选择检查靠港渔船、上道路行驶拖拉机、农业农村设施、沼气工程、</w:t>
      </w:r>
    </w:p>
    <w:p>
      <w:pPr>
        <w:spacing w:line="500" w:lineRule="exact"/>
        <w:ind w:firstLine="840" w:firstLineChars="300"/>
        <w:rPr>
          <w:rFonts w:ascii="Times New Roman" w:hAnsi="Times New Roman" w:eastAsia="方正楷体简体" w:cs="仿宋_GB2312"/>
          <w:sz w:val="28"/>
          <w:szCs w:val="28"/>
        </w:rPr>
      </w:pPr>
      <w:r>
        <w:rPr>
          <w:rFonts w:hint="eastAsia" w:ascii="Times New Roman" w:hAnsi="Times New Roman" w:eastAsia="方正楷体简体" w:cs="仿宋_GB2312"/>
          <w:sz w:val="28"/>
          <w:szCs w:val="28"/>
        </w:rPr>
        <w:t>农家乐(休闲渔船)、农机合作社、农机维修网点、村厨余垃圾就地</w:t>
      </w:r>
    </w:p>
    <w:p>
      <w:pPr>
        <w:spacing w:line="500" w:lineRule="exact"/>
        <w:ind w:firstLine="840" w:firstLineChars="300"/>
        <w:rPr>
          <w:rFonts w:ascii="Times New Roman" w:hAnsi="Times New Roman" w:eastAsia="方正楷体简体" w:cs="仿宋_GB2312"/>
          <w:sz w:val="28"/>
          <w:szCs w:val="28"/>
        </w:rPr>
      </w:pPr>
      <w:r>
        <w:rPr>
          <w:rFonts w:hint="eastAsia" w:ascii="Times New Roman" w:hAnsi="Times New Roman" w:eastAsia="方正楷体简体" w:cs="仿宋_GB2312"/>
          <w:sz w:val="28"/>
          <w:szCs w:val="28"/>
        </w:rPr>
        <w:t>处置终端、村级</w:t>
      </w:r>
      <w:r>
        <w:rPr>
          <w:rFonts w:hint="eastAsia" w:ascii="Times New Roman" w:hAnsi="Times New Roman" w:eastAsia="方正楷体简体"/>
          <w:sz w:val="28"/>
          <w:szCs w:val="28"/>
        </w:rPr>
        <w:t>集体资产出租加工制造类小微企业等。</w:t>
      </w:r>
    </w:p>
    <w:p>
      <w:pPr>
        <w:pStyle w:val="3"/>
        <w:spacing w:line="500" w:lineRule="exact"/>
        <w:rPr>
          <w:rFonts w:ascii="Times New Roman" w:hAnsi="Times New Roman"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方正黑体简体" w:cs="方正小标宋简体"/>
          <w:spacing w:val="-8"/>
          <w:sz w:val="36"/>
          <w:szCs w:val="36"/>
        </w:rPr>
      </w:pPr>
      <w:r>
        <w:rPr>
          <w:rFonts w:hint="eastAsia" w:ascii="Times New Roman" w:hAnsi="Times New Roman" w:eastAsia="方正黑体简体" w:cs="仿宋_GB2312"/>
          <w:spacing w:val="-8"/>
          <w:sz w:val="32"/>
          <w:szCs w:val="32"/>
        </w:rPr>
        <w:t>附件2</w:t>
      </w:r>
    </w:p>
    <w:p>
      <w:pPr>
        <w:tabs>
          <w:tab w:val="center" w:pos="7048"/>
          <w:tab w:val="left" w:pos="10783"/>
        </w:tabs>
        <w:ind w:firstLine="440" w:firstLineChars="100"/>
        <w:jc w:val="lef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  <w:tab/>
      </w: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  <w:t>“</w:t>
      </w:r>
      <w:r>
        <w:rPr>
          <w:rFonts w:hint="eastAsia" w:ascii="Times New Roman" w:hAnsi="方正小标宋简体" w:eastAsia="方正小标宋简体" w:cs="方正小标宋简体"/>
          <w:bCs/>
          <w:color w:val="000000"/>
          <w:kern w:val="0"/>
          <w:sz w:val="44"/>
          <w:szCs w:val="44"/>
        </w:rPr>
        <w:t>国庆</w:t>
      </w: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  <w:t>”</w:t>
      </w:r>
      <w:r>
        <w:rPr>
          <w:rFonts w:hint="eastAsia" w:ascii="Times New Roman" w:hAnsi="方正小标宋简体" w:eastAsia="方正小标宋简体" w:cs="方正小标宋简体"/>
          <w:bCs/>
          <w:color w:val="000000"/>
          <w:kern w:val="0"/>
          <w:sz w:val="44"/>
          <w:szCs w:val="44"/>
        </w:rPr>
        <w:t>农业渔业生产领域安全督导检查情况表</w:t>
      </w:r>
      <w:r>
        <w:rPr>
          <w:rFonts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  <w:tab/>
      </w:r>
    </w:p>
    <w:p>
      <w:pPr>
        <w:spacing w:line="320" w:lineRule="exact"/>
        <w:rPr>
          <w:rFonts w:ascii="Times New Roman" w:hAnsi="Times New Roman" w:cs="仿宋_GB2312" w:eastAsiaTheme="majorEastAsia"/>
          <w:sz w:val="28"/>
          <w:szCs w:val="28"/>
        </w:rPr>
      </w:pPr>
      <w:r>
        <w:rPr>
          <w:rFonts w:hint="eastAsia" w:ascii="Times New Roman" w:hAnsiTheme="majorEastAsia" w:eastAsiaTheme="majorEastAsia"/>
          <w:sz w:val="24"/>
        </w:rPr>
        <w:t>带队领导：</w:t>
      </w:r>
      <w:r>
        <w:rPr>
          <w:rFonts w:hint="eastAsia" w:ascii="Times New Roman" w:hAnsi="Times New Roman" w:eastAsiaTheme="majorEastAsia"/>
          <w:sz w:val="24"/>
        </w:rPr>
        <w:t xml:space="preserve">   </w:t>
      </w:r>
      <w:r>
        <w:rPr>
          <w:rFonts w:hint="eastAsia" w:ascii="Times New Roman" w:hAnsiTheme="majorEastAsia" w:eastAsiaTheme="majorEastAsia"/>
          <w:sz w:val="24"/>
        </w:rPr>
        <w:t>填报人：</w:t>
      </w:r>
      <w:r>
        <w:rPr>
          <w:rFonts w:hint="eastAsia" w:ascii="Times New Roman" w:hAnsi="Times New Roman" w:eastAsiaTheme="majorEastAsia"/>
          <w:sz w:val="24"/>
        </w:rPr>
        <w:t xml:space="preserve">               </w:t>
      </w:r>
      <w:r>
        <w:rPr>
          <w:rFonts w:hint="eastAsia" w:ascii="Times New Roman" w:hAnsiTheme="majorEastAsia" w:eastAsiaTheme="majorEastAsia"/>
          <w:sz w:val="24"/>
        </w:rPr>
        <w:t>填报日期：</w:t>
      </w:r>
    </w:p>
    <w:tbl>
      <w:tblPr>
        <w:tblStyle w:val="9"/>
        <w:tblW w:w="143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7416"/>
        <w:gridCol w:w="900"/>
        <w:gridCol w:w="840"/>
        <w:gridCol w:w="720"/>
        <w:gridCol w:w="810"/>
        <w:gridCol w:w="780"/>
        <w:gridCol w:w="1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pStyle w:val="18"/>
              <w:tabs>
                <w:tab w:val="left" w:pos="965"/>
              </w:tabs>
              <w:spacing w:before="1"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重点</w:t>
            </w:r>
          </w:p>
          <w:p>
            <w:pPr>
              <w:pStyle w:val="18"/>
              <w:tabs>
                <w:tab w:val="left" w:pos="965"/>
              </w:tabs>
              <w:spacing w:before="1"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检查</w:t>
            </w:r>
          </w:p>
          <w:p>
            <w:pPr>
              <w:pStyle w:val="18"/>
              <w:tabs>
                <w:tab w:val="left" w:pos="965"/>
              </w:tabs>
              <w:spacing w:before="1"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领域</w:t>
            </w:r>
          </w:p>
        </w:tc>
        <w:tc>
          <w:tcPr>
            <w:tcW w:w="7416" w:type="dxa"/>
            <w:vMerge w:val="restart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重点检查内容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检查</w:t>
            </w: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主体、</w:t>
            </w: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场所</w:t>
            </w: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（家次）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pStyle w:val="18"/>
              <w:spacing w:before="47"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检查情况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  <w:szCs w:val="24"/>
                <w:lang w:val="zh-CN" w:bidi="zh-CN"/>
              </w:rPr>
              <w:t>排除出的具体隐患及整改详情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416" w:type="dxa"/>
            <w:vMerge w:val="continue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8"/>
              <w:spacing w:line="320" w:lineRule="exact"/>
              <w:ind w:right="200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隐患数量（项）</w:t>
            </w:r>
          </w:p>
        </w:tc>
        <w:tc>
          <w:tcPr>
            <w:tcW w:w="72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当场</w:t>
            </w: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整改</w:t>
            </w: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（项）</w:t>
            </w: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整改中</w:t>
            </w:r>
            <w:r>
              <w:rPr>
                <w:rFonts w:hint="eastAsia" w:ascii="Times New Roman" w:cs="仿宋" w:hAnsiTheme="majorEastAsia" w:eastAsiaTheme="majorEastAsia"/>
                <w:b/>
                <w:spacing w:val="7"/>
                <w:w w:val="95"/>
                <w:position w:val="1"/>
                <w:sz w:val="24"/>
              </w:rPr>
              <w:t>（</w:t>
            </w:r>
            <w:r>
              <w:rPr>
                <w:rFonts w:hint="eastAsia" w:ascii="Times New Roman" w:cs="仿宋" w:hAnsiTheme="majorEastAsia" w:eastAsiaTheme="majorEastAsia"/>
                <w:b/>
                <w:spacing w:val="7"/>
                <w:w w:val="99"/>
                <w:sz w:val="24"/>
              </w:rPr>
              <w:t>项</w:t>
            </w:r>
            <w:r>
              <w:rPr>
                <w:rFonts w:hint="eastAsia" w:ascii="Times New Roman" w:cs="仿宋" w:hAnsiTheme="majorEastAsia" w:eastAsiaTheme="majorEastAsia"/>
                <w:b/>
                <w:position w:val="1"/>
                <w:sz w:val="24"/>
              </w:rPr>
              <w:t>）</w:t>
            </w: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整改</w:t>
            </w: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z w:val="24"/>
              </w:rPr>
              <w:t>完成</w:t>
            </w: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/>
                <w:spacing w:val="7"/>
                <w:w w:val="95"/>
                <w:position w:val="1"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/>
                <w:spacing w:val="7"/>
                <w:w w:val="95"/>
                <w:position w:val="1"/>
                <w:sz w:val="24"/>
              </w:rPr>
              <w:t>（</w:t>
            </w:r>
            <w:r>
              <w:rPr>
                <w:rFonts w:hint="eastAsia" w:ascii="Times New Roman" w:cs="仿宋" w:hAnsiTheme="majorEastAsia" w:eastAsiaTheme="majorEastAsia"/>
                <w:b/>
                <w:spacing w:val="7"/>
                <w:w w:val="99"/>
                <w:sz w:val="24"/>
              </w:rPr>
              <w:t>项</w:t>
            </w:r>
            <w:r>
              <w:rPr>
                <w:rFonts w:hint="eastAsia" w:ascii="Times New Roman" w:cs="仿宋" w:hAnsiTheme="majorEastAsia" w:eastAsiaTheme="majorEastAsia"/>
                <w:b/>
                <w:position w:val="1"/>
                <w:sz w:val="24"/>
              </w:rPr>
              <w:t>）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pStyle w:val="18"/>
              <w:spacing w:line="320" w:lineRule="exact"/>
              <w:ind w:left="108" w:right="-15"/>
              <w:jc w:val="center"/>
              <w:rPr>
                <w:rFonts w:ascii="Times New Roman" w:hAnsi="Times New Roman" w:cs="仿宋" w:eastAsiaTheme="majorEastAsia"/>
                <w:bCs/>
                <w:spacing w:val="-13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  <w:jc w:val="center"/>
        </w:trPr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渔业设施设备和水上作业安全</w:t>
            </w:r>
          </w:p>
        </w:tc>
        <w:tc>
          <w:tcPr>
            <w:tcW w:w="7416" w:type="dxa"/>
            <w:vAlign w:val="center"/>
          </w:tcPr>
          <w:p>
            <w:pPr>
              <w:pStyle w:val="18"/>
              <w:spacing w:line="320" w:lineRule="exact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重点对渔业船舶的日常管理情况，渔业船舶救生、通讯、消防、信号设备运转情况，码头、泊位、水产养殖场的安全设备情况，从业人员的持证情况及相关安全常识掌握情况进行检查。</w:t>
            </w:r>
          </w:p>
        </w:tc>
        <w:tc>
          <w:tcPr>
            <w:tcW w:w="90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lang w:val="en-US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exact"/>
          <w:jc w:val="center"/>
        </w:trPr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  <w:szCs w:val="24"/>
              </w:rPr>
              <w:t>上道路拖拉机及农机设备使用</w:t>
            </w:r>
          </w:p>
        </w:tc>
        <w:tc>
          <w:tcPr>
            <w:tcW w:w="7416" w:type="dxa"/>
            <w:vAlign w:val="center"/>
          </w:tcPr>
          <w:p>
            <w:pPr>
              <w:pStyle w:val="18"/>
              <w:spacing w:line="320" w:lineRule="exact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重点对道路拖拉机年检、号牌、行驶证及交强险和从业人员持证及是否存在酒后驾驶、违反禁令等情况，拖拉机灯光系统、制动系统、转向系统等设备运转情况；拖拉机行驶和装载货物情况是否符合要求等；农机设备安全使用、农机用油储藏规范等情况进行检查。</w:t>
            </w:r>
          </w:p>
        </w:tc>
        <w:tc>
          <w:tcPr>
            <w:tcW w:w="90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exact"/>
          <w:jc w:val="center"/>
        </w:trPr>
        <w:tc>
          <w:tcPr>
            <w:tcW w:w="121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szCs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  <w:szCs w:val="24"/>
              </w:rPr>
              <w:t>农业农村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szCs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  <w:szCs w:val="24"/>
              </w:rPr>
              <w:t>设施运行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  <w:szCs w:val="24"/>
              </w:rPr>
              <w:t>安全管理</w:t>
            </w:r>
          </w:p>
        </w:tc>
        <w:tc>
          <w:tcPr>
            <w:tcW w:w="7416" w:type="dxa"/>
            <w:vAlign w:val="center"/>
          </w:tcPr>
          <w:p>
            <w:pPr>
              <w:pStyle w:val="18"/>
              <w:spacing w:line="320" w:lineRule="exact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对粮食、蔬菜、渔业生产温室、设施、设备，农业检验检测、病虫（疫病）防护等附属设施，农业存储、包装、晾晒烘干等配套设施和场所，特别是农村沼气、秸秆气化工程、畜禽养殖废物净化设施安全管理开展重点检查。</w:t>
            </w:r>
          </w:p>
        </w:tc>
        <w:tc>
          <w:tcPr>
            <w:tcW w:w="90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exact"/>
          <w:jc w:val="center"/>
        </w:trPr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单位内部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安全管理</w:t>
            </w:r>
          </w:p>
        </w:tc>
        <w:tc>
          <w:tcPr>
            <w:tcW w:w="7416" w:type="dxa"/>
            <w:vAlign w:val="center"/>
          </w:tcPr>
          <w:p>
            <w:pPr>
              <w:pStyle w:val="18"/>
              <w:spacing w:line="320" w:lineRule="exact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对用火用电、有毒有害物质管理、消防设施、工程建设安全管理，用电过载、火灾事故等季节性易发险情和实验室、检测中心、财务室、食堂、电梯、用电设备等部位、设施开展安全检查。</w:t>
            </w:r>
          </w:p>
        </w:tc>
        <w:tc>
          <w:tcPr>
            <w:tcW w:w="90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exact"/>
          <w:jc w:val="center"/>
        </w:trPr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休闲农家乐</w:t>
            </w:r>
          </w:p>
        </w:tc>
        <w:tc>
          <w:tcPr>
            <w:tcW w:w="7416" w:type="dxa"/>
            <w:vAlign w:val="center"/>
          </w:tcPr>
          <w:p>
            <w:pPr>
              <w:pStyle w:val="18"/>
              <w:spacing w:line="320" w:lineRule="exact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重点检查休闲农家乐依法经营情况、防火、防意外等疏散应急措施落实情况（包括防火等安全设施、设备和预案、培训、演练等）；员工安全教育和培训</w:t>
            </w:r>
            <w:r>
              <w:rPr>
                <w:rFonts w:hint="eastAsia" w:ascii="Times New Roman" w:hAnsi="Times New Roman" w:cs="仿宋" w:eastAsiaTheme="majorEastAsia"/>
                <w:bCs/>
                <w:sz w:val="24"/>
              </w:rPr>
              <w:t>(</w:t>
            </w: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查食品、消防等记录资料）；</w:t>
            </w:r>
          </w:p>
          <w:p>
            <w:pPr>
              <w:pStyle w:val="18"/>
              <w:spacing w:line="320" w:lineRule="exact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hAnsi="Times New Roman" w:cs="仿宋" w:eastAsiaTheme="majorEastAsia"/>
                <w:bCs/>
                <w:sz w:val="24"/>
              </w:rPr>
              <w:t>4.</w:t>
            </w: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燃气安全（查安检记录</w:t>
            </w:r>
            <w:r>
              <w:rPr>
                <w:rFonts w:hint="eastAsia" w:ascii="Times New Roman" w:hAnsi="Times New Roman" w:cs="仿宋" w:eastAsiaTheme="majorEastAsia"/>
                <w:bCs/>
                <w:sz w:val="24"/>
              </w:rPr>
              <w:t>)</w:t>
            </w: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；</w:t>
            </w:r>
          </w:p>
          <w:p>
            <w:pPr>
              <w:pStyle w:val="18"/>
              <w:spacing w:line="320" w:lineRule="exact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hAnsi="Times New Roman" w:cs="仿宋" w:eastAsiaTheme="majorEastAsia"/>
                <w:bCs/>
                <w:sz w:val="24"/>
              </w:rPr>
              <w:t>5.</w:t>
            </w: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安全警示提示等安全标识落实情况。</w:t>
            </w:r>
          </w:p>
        </w:tc>
        <w:tc>
          <w:tcPr>
            <w:tcW w:w="90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exact"/>
          <w:jc w:val="center"/>
        </w:trPr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  <w:szCs w:val="24"/>
                <w:lang w:val="zh-CN" w:bidi="zh-CN"/>
              </w:rPr>
              <w:t>农产品质量安全</w:t>
            </w:r>
          </w:p>
        </w:tc>
        <w:tc>
          <w:tcPr>
            <w:tcW w:w="7416" w:type="dxa"/>
            <w:vAlign w:val="center"/>
          </w:tcPr>
          <w:p>
            <w:pPr>
              <w:pStyle w:val="18"/>
              <w:spacing w:line="320" w:lineRule="exact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各地</w:t>
            </w:r>
            <w:r>
              <w:rPr>
                <w:rFonts w:hint="eastAsia" w:ascii="Times New Roman" w:hAnsi="Times New Roman" w:cs="仿宋" w:eastAsiaTheme="majorEastAsia"/>
                <w:bCs/>
                <w:sz w:val="24"/>
                <w:lang w:val="en-US"/>
              </w:rPr>
              <w:t>“</w:t>
            </w:r>
            <w:r>
              <w:rPr>
                <w:rFonts w:hint="eastAsia" w:ascii="Times New Roman" w:cs="仿宋" w:hAnsiTheme="majorEastAsia" w:eastAsiaTheme="majorEastAsia"/>
                <w:bCs/>
                <w:sz w:val="24"/>
                <w:lang w:val="en-US"/>
              </w:rPr>
              <w:t>除隐患、守底线，护航二十大</w:t>
            </w:r>
            <w:r>
              <w:rPr>
                <w:rFonts w:hint="eastAsia" w:ascii="Times New Roman" w:hAnsi="Times New Roman" w:cs="仿宋" w:eastAsiaTheme="majorEastAsia"/>
                <w:bCs/>
                <w:sz w:val="24"/>
                <w:lang w:val="en-US"/>
              </w:rPr>
              <w:t>”</w:t>
            </w:r>
            <w:r>
              <w:rPr>
                <w:rFonts w:hint="eastAsia" w:ascii="Times New Roman" w:cs="仿宋" w:hAnsiTheme="majorEastAsia" w:eastAsiaTheme="majorEastAsia"/>
                <w:bCs/>
                <w:sz w:val="24"/>
                <w:lang w:val="en-US"/>
              </w:rPr>
              <w:t>农产品质量安全专项整治行动是否部署，主体是否知晓。</w:t>
            </w: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规模主体生产记录、投入品使用记录落实情况；农产品承诺达标合格证开具情况。生产经营主体张贴禁限用药物清单、安全用药明白纸等宣传资料情况。</w:t>
            </w:r>
          </w:p>
        </w:tc>
        <w:tc>
          <w:tcPr>
            <w:tcW w:w="90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  <w:jc w:val="center"/>
        </w:trPr>
        <w:tc>
          <w:tcPr>
            <w:tcW w:w="12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  <w:szCs w:val="24"/>
              </w:rPr>
              <w:t>其他安全</w:t>
            </w:r>
          </w:p>
        </w:tc>
        <w:tc>
          <w:tcPr>
            <w:tcW w:w="7416" w:type="dxa"/>
            <w:vAlign w:val="center"/>
          </w:tcPr>
          <w:p>
            <w:pPr>
              <w:pStyle w:val="18"/>
              <w:spacing w:line="320" w:lineRule="exact"/>
              <w:rPr>
                <w:rFonts w:ascii="Times New Roman" w:hAnsi="Times New Roman" w:cs="仿宋" w:eastAsiaTheme="majorEastAsia"/>
                <w:bCs/>
                <w:sz w:val="24"/>
              </w:rPr>
            </w:pPr>
            <w:r>
              <w:rPr>
                <w:rFonts w:hint="eastAsia" w:ascii="Times New Roman" w:cs="仿宋" w:hAnsiTheme="majorEastAsia" w:eastAsiaTheme="majorEastAsia"/>
                <w:bCs/>
                <w:sz w:val="24"/>
              </w:rPr>
              <w:t>剧毒高毒农药（兽药、渔药）使用、村厨余垃圾就地处置终端、村级集体资产出租加工制造类小微企业安全等</w:t>
            </w:r>
          </w:p>
        </w:tc>
        <w:tc>
          <w:tcPr>
            <w:tcW w:w="90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810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pStyle w:val="18"/>
              <w:spacing w:line="320" w:lineRule="exact"/>
              <w:jc w:val="center"/>
              <w:rPr>
                <w:rFonts w:ascii="Times New Roman" w:hAnsi="Times New Roman" w:cs="仿宋" w:eastAsiaTheme="majorEastAsia"/>
                <w:bCs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ind w:firstLine="304" w:firstLineChars="100"/>
        <w:jc w:val="left"/>
        <w:rPr>
          <w:rFonts w:ascii="Times New Roman" w:hAnsi="Times New Roman" w:eastAsia="仿宋_GB2312" w:cs="仿宋_GB2312"/>
          <w:spacing w:val="-8"/>
          <w:sz w:val="32"/>
          <w:szCs w:val="32"/>
        </w:rPr>
      </w:pPr>
    </w:p>
    <w:p>
      <w:pPr>
        <w:jc w:val="left"/>
        <w:rPr>
          <w:rFonts w:ascii="Times New Roman" w:hAnsi="Times New Roman" w:eastAsia="方正黑体简体" w:cs="仿宋_GB2312"/>
          <w:spacing w:val="-8"/>
          <w:sz w:val="44"/>
          <w:szCs w:val="44"/>
        </w:rPr>
      </w:pPr>
      <w:r>
        <w:rPr>
          <w:rFonts w:hint="eastAsia" w:ascii="Times New Roman" w:hAnsi="Times New Roman" w:eastAsia="方正黑体简体" w:cs="仿宋_GB2312"/>
          <w:spacing w:val="-8"/>
          <w:sz w:val="32"/>
          <w:szCs w:val="32"/>
        </w:rPr>
        <w:t>附件3</w:t>
      </w:r>
    </w:p>
    <w:p>
      <w:pPr>
        <w:ind w:firstLine="440" w:firstLineChars="100"/>
        <w:jc w:val="center"/>
        <w:rPr>
          <w:rFonts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bCs/>
          <w:color w:val="000000"/>
          <w:kern w:val="0"/>
          <w:sz w:val="44"/>
          <w:szCs w:val="44"/>
        </w:rPr>
        <w:t>部门</w:t>
      </w: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  <w:t>“</w:t>
      </w:r>
      <w:r>
        <w:rPr>
          <w:rFonts w:hint="eastAsia" w:ascii="Times New Roman" w:hAnsi="方正小标宋简体" w:eastAsia="方正小标宋简体" w:cs="方正小标宋简体"/>
          <w:bCs/>
          <w:color w:val="000000"/>
          <w:kern w:val="0"/>
          <w:sz w:val="44"/>
          <w:szCs w:val="44"/>
        </w:rPr>
        <w:t>守小门</w:t>
      </w: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  <w:t>”</w:t>
      </w:r>
      <w:r>
        <w:rPr>
          <w:rFonts w:hint="eastAsia" w:ascii="Times New Roman" w:hAnsi="方正小标宋简体" w:eastAsia="方正小标宋简体" w:cs="方正小标宋简体"/>
          <w:bCs/>
          <w:color w:val="000000"/>
          <w:kern w:val="0"/>
          <w:sz w:val="44"/>
          <w:szCs w:val="44"/>
        </w:rPr>
        <w:t>督促指导清单</w:t>
      </w:r>
    </w:p>
    <w:tbl>
      <w:tblPr>
        <w:tblStyle w:val="9"/>
        <w:tblW w:w="13907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92"/>
        <w:gridCol w:w="3391"/>
        <w:gridCol w:w="494"/>
        <w:gridCol w:w="480"/>
        <w:gridCol w:w="510"/>
        <w:gridCol w:w="435"/>
        <w:gridCol w:w="510"/>
        <w:gridCol w:w="480"/>
        <w:gridCol w:w="630"/>
        <w:gridCol w:w="630"/>
        <w:gridCol w:w="810"/>
        <w:gridCol w:w="841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</w:trPr>
        <w:tc>
          <w:tcPr>
            <w:tcW w:w="78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139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区（县、市）</w:t>
            </w:r>
          </w:p>
        </w:tc>
        <w:tc>
          <w:tcPr>
            <w:tcW w:w="339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检查点位</w:t>
            </w:r>
          </w:p>
        </w:tc>
        <w:tc>
          <w:tcPr>
            <w:tcW w:w="9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扫场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所码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两码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联检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测温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戴口罩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val="zh-CN" w:bidi="zh-CN"/>
              </w:rPr>
              <w:t>村社外来人员排摸、登记</w:t>
            </w:r>
          </w:p>
        </w:tc>
        <w:tc>
          <w:tcPr>
            <w:tcW w:w="252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情况备注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7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是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是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是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否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是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" w:eastAsiaTheme="minorEastAsia"/>
                <w:b/>
                <w:sz w:val="24"/>
                <w:szCs w:val="24"/>
                <w:lang w:bidi="zh-CN"/>
              </w:rPr>
            </w:pPr>
            <w:r>
              <w:rPr>
                <w:rFonts w:hint="eastAsia" w:ascii="Times New Roman" w:cs="仿宋" w:hAnsiTheme="minorEastAsia" w:eastAsiaTheme="minorEastAsia"/>
                <w:b/>
                <w:sz w:val="24"/>
                <w:szCs w:val="24"/>
                <w:lang w:bidi="zh-CN"/>
              </w:rPr>
              <w:t>否</w:t>
            </w:r>
          </w:p>
        </w:tc>
        <w:tc>
          <w:tcPr>
            <w:tcW w:w="252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2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2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2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2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 w:eastAsia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2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eastAsia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Arial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Arial" w:eastAsiaTheme="minorEastAsia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Arial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Arial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2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eastAsia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4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Arial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Arial" w:eastAsiaTheme="minorEastAsia"/>
                <w:color w:val="000000"/>
                <w:szCs w:val="21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Arial" w:eastAsiaTheme="minorEastAsia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Arial" w:eastAsia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  <w:tc>
          <w:tcPr>
            <w:tcW w:w="25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07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cs="宋体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cs="宋体" w:hAnsiTheme="minorEastAsia" w:eastAsiaTheme="minorEastAsia"/>
                <w:color w:val="000000"/>
                <w:kern w:val="0"/>
                <w:sz w:val="22"/>
              </w:rPr>
              <w:t>填表说明：检查点位可以是农村合作社、农资店、屠宰场、渔船、渔港、村庄等农业农村地区重点场所。</w:t>
            </w:r>
          </w:p>
        </w:tc>
      </w:tr>
    </w:tbl>
    <w:p>
      <w:pPr>
        <w:pStyle w:val="3"/>
        <w:keepNext w:val="0"/>
        <w:keepLines w:val="0"/>
        <w:rPr>
          <w:rFonts w:ascii="Times New Roman" w:hAnsi="Times New Roman"/>
        </w:rPr>
      </w:pPr>
    </w:p>
    <w:sectPr>
      <w:pgSz w:w="16838" w:h="11906" w:orient="landscape"/>
      <w:pgMar w:top="2098" w:right="1474" w:bottom="1928" w:left="1588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宋体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9E2BE4"/>
    <w:multiLevelType w:val="singleLevel"/>
    <w:tmpl w:val="EF9E2B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60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71110C"/>
    <w:rsid w:val="000169F9"/>
    <w:rsid w:val="00025750"/>
    <w:rsid w:val="00043F1C"/>
    <w:rsid w:val="000A50E7"/>
    <w:rsid w:val="000B3888"/>
    <w:rsid w:val="000F143B"/>
    <w:rsid w:val="00156B39"/>
    <w:rsid w:val="00180CBD"/>
    <w:rsid w:val="00181D59"/>
    <w:rsid w:val="00182203"/>
    <w:rsid w:val="001C225D"/>
    <w:rsid w:val="001F1617"/>
    <w:rsid w:val="001F3E1E"/>
    <w:rsid w:val="00281E74"/>
    <w:rsid w:val="002B0A1C"/>
    <w:rsid w:val="003424CE"/>
    <w:rsid w:val="003C67B2"/>
    <w:rsid w:val="00443C33"/>
    <w:rsid w:val="00447AAC"/>
    <w:rsid w:val="004C6FB4"/>
    <w:rsid w:val="004C7CDC"/>
    <w:rsid w:val="00513F76"/>
    <w:rsid w:val="005272E6"/>
    <w:rsid w:val="005328DB"/>
    <w:rsid w:val="00533DD2"/>
    <w:rsid w:val="00566B14"/>
    <w:rsid w:val="005D117B"/>
    <w:rsid w:val="005F73AD"/>
    <w:rsid w:val="00607657"/>
    <w:rsid w:val="00652E25"/>
    <w:rsid w:val="007509A7"/>
    <w:rsid w:val="007A1808"/>
    <w:rsid w:val="007D2192"/>
    <w:rsid w:val="008142D6"/>
    <w:rsid w:val="00864CF4"/>
    <w:rsid w:val="00927153"/>
    <w:rsid w:val="009B5F64"/>
    <w:rsid w:val="00A243BD"/>
    <w:rsid w:val="00A27EFC"/>
    <w:rsid w:val="00AF19C4"/>
    <w:rsid w:val="00BA5139"/>
    <w:rsid w:val="00C05B56"/>
    <w:rsid w:val="00C26138"/>
    <w:rsid w:val="00C4251D"/>
    <w:rsid w:val="00CB40D7"/>
    <w:rsid w:val="00CF3025"/>
    <w:rsid w:val="00D32720"/>
    <w:rsid w:val="00D41F3B"/>
    <w:rsid w:val="00D80720"/>
    <w:rsid w:val="00DF1005"/>
    <w:rsid w:val="00E02E4D"/>
    <w:rsid w:val="00E97479"/>
    <w:rsid w:val="00ED2E45"/>
    <w:rsid w:val="00EF2A73"/>
    <w:rsid w:val="02876E4F"/>
    <w:rsid w:val="05225CCB"/>
    <w:rsid w:val="0B73B7F8"/>
    <w:rsid w:val="0B9860D7"/>
    <w:rsid w:val="10424999"/>
    <w:rsid w:val="163508D2"/>
    <w:rsid w:val="16D84E67"/>
    <w:rsid w:val="17FD930C"/>
    <w:rsid w:val="1B316B53"/>
    <w:rsid w:val="1B6C08A1"/>
    <w:rsid w:val="1D9C0AB2"/>
    <w:rsid w:val="2487623F"/>
    <w:rsid w:val="2C947F23"/>
    <w:rsid w:val="2DA7E03A"/>
    <w:rsid w:val="2FBB819E"/>
    <w:rsid w:val="2FEB4294"/>
    <w:rsid w:val="31F8A88B"/>
    <w:rsid w:val="3428454D"/>
    <w:rsid w:val="35B17BE2"/>
    <w:rsid w:val="37115DB1"/>
    <w:rsid w:val="377CE6E8"/>
    <w:rsid w:val="37F699CC"/>
    <w:rsid w:val="38B3D30A"/>
    <w:rsid w:val="3B78B040"/>
    <w:rsid w:val="3BF5BF21"/>
    <w:rsid w:val="3BFF8F2B"/>
    <w:rsid w:val="3CBEC6BE"/>
    <w:rsid w:val="3DB17937"/>
    <w:rsid w:val="3E7ED059"/>
    <w:rsid w:val="3FCF27D3"/>
    <w:rsid w:val="3FFAD49D"/>
    <w:rsid w:val="3FFDC700"/>
    <w:rsid w:val="3FFEDC53"/>
    <w:rsid w:val="467FFC3D"/>
    <w:rsid w:val="4AFAFF6E"/>
    <w:rsid w:val="4E7EF34B"/>
    <w:rsid w:val="4E970A6B"/>
    <w:rsid w:val="4FB61857"/>
    <w:rsid w:val="4FC31EF4"/>
    <w:rsid w:val="53CEAF9F"/>
    <w:rsid w:val="56F38E76"/>
    <w:rsid w:val="5BED20E2"/>
    <w:rsid w:val="5D9D0330"/>
    <w:rsid w:val="5DF40C4B"/>
    <w:rsid w:val="5EFFB5B2"/>
    <w:rsid w:val="5FD7A7E0"/>
    <w:rsid w:val="5FFF4016"/>
    <w:rsid w:val="644E0F2A"/>
    <w:rsid w:val="67FE7217"/>
    <w:rsid w:val="6BFF164C"/>
    <w:rsid w:val="6C244BB1"/>
    <w:rsid w:val="6ED5CC75"/>
    <w:rsid w:val="6FFBFAC8"/>
    <w:rsid w:val="70FF60A2"/>
    <w:rsid w:val="73EF0525"/>
    <w:rsid w:val="7671110C"/>
    <w:rsid w:val="77BE38D4"/>
    <w:rsid w:val="77CF39BC"/>
    <w:rsid w:val="77DFDA98"/>
    <w:rsid w:val="77F37E9E"/>
    <w:rsid w:val="77F3C24F"/>
    <w:rsid w:val="787BAEAA"/>
    <w:rsid w:val="796FF58F"/>
    <w:rsid w:val="79F43FD3"/>
    <w:rsid w:val="7BEFD405"/>
    <w:rsid w:val="7BF7FE0D"/>
    <w:rsid w:val="7BF96040"/>
    <w:rsid w:val="7BFF2FAC"/>
    <w:rsid w:val="7CDBCA1C"/>
    <w:rsid w:val="7DEDFABA"/>
    <w:rsid w:val="7DF5F87E"/>
    <w:rsid w:val="7E79AD7A"/>
    <w:rsid w:val="7E7FCD6E"/>
    <w:rsid w:val="7EFA22EF"/>
    <w:rsid w:val="7F7D58EC"/>
    <w:rsid w:val="7FD0BB34"/>
    <w:rsid w:val="7FDFD8D4"/>
    <w:rsid w:val="7FED30DF"/>
    <w:rsid w:val="7FED46A3"/>
    <w:rsid w:val="7FEE0EDB"/>
    <w:rsid w:val="7FEEA499"/>
    <w:rsid w:val="7FF71F6B"/>
    <w:rsid w:val="7FFB6C3B"/>
    <w:rsid w:val="7FFF50B9"/>
    <w:rsid w:val="7FFFF4C3"/>
    <w:rsid w:val="92FF0AA8"/>
    <w:rsid w:val="9D4B5CFF"/>
    <w:rsid w:val="A7CFB333"/>
    <w:rsid w:val="AE9EE35A"/>
    <w:rsid w:val="AFF93A1C"/>
    <w:rsid w:val="B2B48DA5"/>
    <w:rsid w:val="B3CEDBA4"/>
    <w:rsid w:val="B6968D9F"/>
    <w:rsid w:val="B6DEB77B"/>
    <w:rsid w:val="B97F8B37"/>
    <w:rsid w:val="BA7B23C6"/>
    <w:rsid w:val="BBB3E490"/>
    <w:rsid w:val="BD7D4CB0"/>
    <w:rsid w:val="BF3FA752"/>
    <w:rsid w:val="BF6CD825"/>
    <w:rsid w:val="BF7B64AE"/>
    <w:rsid w:val="BF7FFC44"/>
    <w:rsid w:val="BFBFD159"/>
    <w:rsid w:val="BFBFF060"/>
    <w:rsid w:val="BFD91A8A"/>
    <w:rsid w:val="C596602E"/>
    <w:rsid w:val="CFBEE852"/>
    <w:rsid w:val="CFFEF9F4"/>
    <w:rsid w:val="CFFFBAB1"/>
    <w:rsid w:val="D2BBF6A6"/>
    <w:rsid w:val="D3F7E795"/>
    <w:rsid w:val="D5E7B7DB"/>
    <w:rsid w:val="D7DFEEC6"/>
    <w:rsid w:val="D7FEC83F"/>
    <w:rsid w:val="D9E99561"/>
    <w:rsid w:val="DBB7AC89"/>
    <w:rsid w:val="DBEFAD94"/>
    <w:rsid w:val="DBFF3475"/>
    <w:rsid w:val="DD9981D8"/>
    <w:rsid w:val="DFC7EAAF"/>
    <w:rsid w:val="DFDFDDB8"/>
    <w:rsid w:val="E0BBED3D"/>
    <w:rsid w:val="E7FF8B89"/>
    <w:rsid w:val="E9DF9E7F"/>
    <w:rsid w:val="EB774A96"/>
    <w:rsid w:val="EB7F1384"/>
    <w:rsid w:val="EC2F104D"/>
    <w:rsid w:val="ED36F523"/>
    <w:rsid w:val="EDFEA491"/>
    <w:rsid w:val="EEF9BFD0"/>
    <w:rsid w:val="EEFF8064"/>
    <w:rsid w:val="EF7F4DE9"/>
    <w:rsid w:val="EF7F6B3C"/>
    <w:rsid w:val="EF7FE315"/>
    <w:rsid w:val="EFD55C5C"/>
    <w:rsid w:val="F32FB6D1"/>
    <w:rsid w:val="F57E4D2E"/>
    <w:rsid w:val="F77D52EA"/>
    <w:rsid w:val="F79F7773"/>
    <w:rsid w:val="F7E62FD3"/>
    <w:rsid w:val="F7F7FFB6"/>
    <w:rsid w:val="F7FBBD8B"/>
    <w:rsid w:val="F9DE60F5"/>
    <w:rsid w:val="F9EFB78E"/>
    <w:rsid w:val="FA3F800D"/>
    <w:rsid w:val="FA9B9E79"/>
    <w:rsid w:val="FB26DC6A"/>
    <w:rsid w:val="FB5743D1"/>
    <w:rsid w:val="FBBFF5E1"/>
    <w:rsid w:val="FBDF8980"/>
    <w:rsid w:val="FBE2687E"/>
    <w:rsid w:val="FBEB1F81"/>
    <w:rsid w:val="FD77359B"/>
    <w:rsid w:val="FDC481B4"/>
    <w:rsid w:val="FDE71021"/>
    <w:rsid w:val="FE734873"/>
    <w:rsid w:val="FEDF6FEC"/>
    <w:rsid w:val="FEFD7A88"/>
    <w:rsid w:val="FF2B34BC"/>
    <w:rsid w:val="FF3BF96B"/>
    <w:rsid w:val="FF3D21B1"/>
    <w:rsid w:val="FF5B3D92"/>
    <w:rsid w:val="FF6BBE51"/>
    <w:rsid w:val="FF77DD96"/>
    <w:rsid w:val="FF9A74B2"/>
    <w:rsid w:val="FFCDEC30"/>
    <w:rsid w:val="FFDF58A1"/>
    <w:rsid w:val="FFEB63E0"/>
    <w:rsid w:val="FFEC9491"/>
    <w:rsid w:val="FFEF1B1B"/>
    <w:rsid w:val="FFF152F7"/>
    <w:rsid w:val="FFF51A8E"/>
    <w:rsid w:val="FFF58ADF"/>
    <w:rsid w:val="FFFB237E"/>
    <w:rsid w:val="FFFF12B9"/>
    <w:rsid w:val="FFFF90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Body Text"/>
    <w:basedOn w:val="1"/>
    <w:link w:val="19"/>
    <w:qFormat/>
    <w:uiPriority w:val="0"/>
    <w:pPr>
      <w:suppressAutoHyphens/>
      <w:spacing w:after="140" w:line="276" w:lineRule="auto"/>
    </w:pPr>
    <w:rPr>
      <w:rFonts w:ascii="Times New Roman" w:hAnsi="Times New Roman"/>
      <w:szCs w:val="24"/>
    </w:r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4D4D4D"/>
      <w:u w:val="none"/>
    </w:rPr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4D4D4D"/>
      <w:u w:val="none"/>
    </w:rPr>
  </w:style>
  <w:style w:type="character" w:customStyle="1" w:styleId="16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日期 Char"/>
    <w:basedOn w:val="11"/>
    <w:link w:val="5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8">
    <w:name w:val="Table Paragraph"/>
    <w:basedOn w:val="1"/>
    <w:qFormat/>
    <w:uiPriority w:val="1"/>
    <w:rPr>
      <w:rFonts w:ascii="Microsoft JhengHei" w:hAnsi="Microsoft JhengHei" w:eastAsia="Microsoft JhengHei" w:cs="Microsoft JhengHei"/>
      <w:szCs w:val="24"/>
      <w:lang w:val="zh-CN" w:bidi="zh-CN"/>
    </w:rPr>
  </w:style>
  <w:style w:type="character" w:customStyle="1" w:styleId="19">
    <w:name w:val="正文文本 Char"/>
    <w:basedOn w:val="11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743</Words>
  <Characters>4240</Characters>
  <Lines>35</Lines>
  <Paragraphs>9</Paragraphs>
  <TotalTime>6</TotalTime>
  <ScaleCrop>false</ScaleCrop>
  <LinksUpToDate>false</LinksUpToDate>
  <CharactersWithSpaces>4974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2022-09-22T16:18:00Z</dcterms:created>
  <dc:creator>lenovo</dc:creator>
  <cp:lastModifiedBy>guest</cp:lastModifiedBy>
  <cp:lastPrinted>2022-09-22T16:54:00Z</cp:lastPrinted>
  <dcterms:modified xsi:type="dcterms:W3CDTF">2022-10-26T10:22:31Z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AF6C54E034394D0083986F1B9662EE63</vt:lpwstr>
  </property>
</Properties>
</file>